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aconcuadrcula"/>
        <w:tblW w:w="12116" w:type="dxa"/>
        <w:tblInd w:w="-13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6"/>
        <w:gridCol w:w="8720"/>
      </w:tblGrid>
      <w:tr w:rsidR="00F0089B" w:rsidTr="00145FFB">
        <w:tc>
          <w:tcPr>
            <w:tcW w:w="3396" w:type="dxa"/>
            <w:vAlign w:val="center"/>
          </w:tcPr>
          <w:p w:rsidR="00F0089B" w:rsidRDefault="00F0089B" w:rsidP="00D068BE">
            <w:pPr>
              <w:jc w:val="center"/>
            </w:pPr>
            <w:r>
              <w:rPr>
                <w:noProof/>
                <w:lang w:eastAsia="es-ES"/>
              </w:rPr>
              <w:drawing>
                <wp:inline distT="0" distB="0" distL="0" distR="0" wp14:anchorId="08F67384" wp14:editId="71BA31CB">
                  <wp:extent cx="2012573" cy="752475"/>
                  <wp:effectExtent l="0" t="0" r="6985" b="0"/>
                  <wp:docPr id="2" name="Imagen 2" descr="Resultado de imagen para logo pmi sur pe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pmi sur peru"/>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020" t="32520" r="7519" b="33333"/>
                          <a:stretch/>
                        </pic:blipFill>
                        <pic:spPr bwMode="auto">
                          <a:xfrm>
                            <a:off x="0" y="0"/>
                            <a:ext cx="2012573" cy="75247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8720" w:type="dxa"/>
          </w:tcPr>
          <w:p w:rsidR="00F0089B" w:rsidRDefault="00990385" w:rsidP="00F0089B">
            <w:pPr>
              <w:jc w:val="center"/>
            </w:pPr>
            <w:r>
              <w:rPr>
                <w:noProof/>
                <w:lang w:eastAsia="es-ES"/>
              </w:rPr>
              <w:drawing>
                <wp:inline distT="0" distB="0" distL="0" distR="0" wp14:anchorId="0F152459" wp14:editId="39201784">
                  <wp:extent cx="5400040" cy="2249805"/>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1.png"/>
                          <pic:cNvPicPr/>
                        </pic:nvPicPr>
                        <pic:blipFill>
                          <a:blip r:embed="rId9">
                            <a:extLst>
                              <a:ext uri="{28A0092B-C50C-407E-A947-70E740481C1C}">
                                <a14:useLocalDpi xmlns:a14="http://schemas.microsoft.com/office/drawing/2010/main" val="0"/>
                              </a:ext>
                            </a:extLst>
                          </a:blip>
                          <a:stretch>
                            <a:fillRect/>
                          </a:stretch>
                        </pic:blipFill>
                        <pic:spPr>
                          <a:xfrm>
                            <a:off x="0" y="0"/>
                            <a:ext cx="5400040" cy="2249805"/>
                          </a:xfrm>
                          <a:prstGeom prst="rect">
                            <a:avLst/>
                          </a:prstGeom>
                        </pic:spPr>
                      </pic:pic>
                    </a:graphicData>
                  </a:graphic>
                </wp:inline>
              </w:drawing>
            </w:r>
          </w:p>
        </w:tc>
      </w:tr>
      <w:tr w:rsidR="00145FFB" w:rsidTr="00145FFB">
        <w:trPr>
          <w:trHeight w:val="984"/>
        </w:trPr>
        <w:tc>
          <w:tcPr>
            <w:tcW w:w="12116" w:type="dxa"/>
            <w:gridSpan w:val="2"/>
            <w:shd w:val="clear" w:color="auto" w:fill="000000" w:themeFill="text1"/>
            <w:vAlign w:val="center"/>
          </w:tcPr>
          <w:p w:rsidR="00145FFB" w:rsidRPr="00814DAF" w:rsidRDefault="00814DAF" w:rsidP="00145FFB">
            <w:pPr>
              <w:jc w:val="center"/>
              <w:rPr>
                <w:rFonts w:ascii="Garamond" w:hAnsi="Garamond"/>
                <w:b/>
                <w:noProof/>
                <w:lang w:eastAsia="es-ES"/>
              </w:rPr>
            </w:pPr>
            <w:r w:rsidRPr="00814DAF">
              <w:rPr>
                <w:rFonts w:ascii="Garamond" w:hAnsi="Garamond"/>
                <w:b/>
                <w:noProof/>
                <w:sz w:val="72"/>
                <w:lang w:eastAsia="es-ES"/>
              </w:rPr>
              <w:t>CALL FOR PAPERS</w:t>
            </w:r>
          </w:p>
        </w:tc>
      </w:tr>
    </w:tbl>
    <w:p w:rsidR="00141D62" w:rsidRDefault="00141D62"/>
    <w:p w:rsidR="00814DAF" w:rsidRDefault="00814DAF" w:rsidP="00814DAF">
      <w:pPr>
        <w:jc w:val="both"/>
        <w:rPr>
          <w:sz w:val="24"/>
        </w:rPr>
      </w:pPr>
      <w:r w:rsidRPr="00C03CED">
        <w:rPr>
          <w:sz w:val="24"/>
        </w:rPr>
        <w:t xml:space="preserve">El PMI Southern Peru Region Chapter abre la convocatoria </w:t>
      </w:r>
      <w:r>
        <w:rPr>
          <w:sz w:val="24"/>
        </w:rPr>
        <w:t>a presentar ponencias para el XI Congreso Internacional de Dirección de Proyectos PMI Tour Cono Sur 2018, que se llevará a cabo el Martes 20 de Noviembre del 2018 en la ciudad de Arequipa ubicada al Sur del Perú.</w:t>
      </w:r>
    </w:p>
    <w:p w:rsidR="00814DAF" w:rsidRDefault="00814DAF" w:rsidP="00814DAF">
      <w:pPr>
        <w:jc w:val="both"/>
        <w:rPr>
          <w:sz w:val="24"/>
        </w:rPr>
      </w:pPr>
      <w:r>
        <w:rPr>
          <w:sz w:val="24"/>
        </w:rPr>
        <w:t>Año tras año el equipo de PMI Southern Peru Region viene organizando el Congreso Internacional de Gestión de proyectos con el objetivo de difundir las buenas prácticas adoptadas internacionalmente en de Gestión de Proyectos para agregar valor a la sociedad industrial en todo el Sur del Perú.</w:t>
      </w:r>
    </w:p>
    <w:p w:rsidR="00814DAF" w:rsidRDefault="00814DAF" w:rsidP="00814DAF">
      <w:pPr>
        <w:jc w:val="both"/>
        <w:rPr>
          <w:sz w:val="24"/>
        </w:rPr>
      </w:pPr>
      <w:r>
        <w:rPr>
          <w:sz w:val="24"/>
        </w:rPr>
        <w:t>El XI Congreso internacional de Dirección de Proyectos PMI Tour Cono Sur 2018 con el Lema: “</w:t>
      </w:r>
      <w:r w:rsidRPr="00F16684">
        <w:rPr>
          <w:sz w:val="24"/>
        </w:rPr>
        <w:t>Gestionar, adaptarse y reinventar el mundo a través de Proyectos</w:t>
      </w:r>
      <w:r>
        <w:rPr>
          <w:sz w:val="24"/>
        </w:rPr>
        <w:t>” busca promover estas buenas practicas entre todos sus participantes. Si Usted tiene el interés en formar parte de este objetivo y de la historia del Capítulo Southern Peru Region Chapter lo invitamos a inscribirse en el proceso de selección de ponencias siguiente los lineamientos y el proceso descrito en el presente documento.</w:t>
      </w:r>
    </w:p>
    <w:p w:rsidR="00814DAF" w:rsidRDefault="00814DAF" w:rsidP="00814DAF">
      <w:pPr>
        <w:jc w:val="both"/>
        <w:rPr>
          <w:sz w:val="24"/>
        </w:rPr>
      </w:pPr>
      <w:r>
        <w:rPr>
          <w:sz w:val="24"/>
        </w:rPr>
        <w:t>Por favor lea los Términos y Condiciones contenidos en el presente documento antes de enviar su postulación. Incluye información sobre los temas admitidos en sus ponencias, el proceso de revisión y selección de las mismas.</w:t>
      </w:r>
    </w:p>
    <w:p w:rsidR="00814DAF" w:rsidRDefault="00814DAF" w:rsidP="00814DAF">
      <w:pPr>
        <w:jc w:val="both"/>
        <w:rPr>
          <w:sz w:val="24"/>
        </w:rPr>
      </w:pPr>
      <w:r>
        <w:rPr>
          <w:sz w:val="24"/>
        </w:rPr>
        <w:t xml:space="preserve">Todas las postulaciones deberán ser enviadas en formato digital a </w:t>
      </w:r>
      <w:hyperlink r:id="rId10" w:history="1">
        <w:r w:rsidRPr="004E79BC">
          <w:rPr>
            <w:rStyle w:val="Hipervnculo"/>
            <w:sz w:val="24"/>
          </w:rPr>
          <w:t>giancarlo.avila@pmisurperu.org</w:t>
        </w:r>
      </w:hyperlink>
      <w:r>
        <w:rPr>
          <w:sz w:val="24"/>
        </w:rPr>
        <w:t xml:space="preserve"> hasta el 31 de Agosto del 2018. A partir del 20 de Setiembre del 2018 entregaremos las respuestas a las postulaciones.</w:t>
      </w:r>
    </w:p>
    <w:p w:rsidR="00814DAF" w:rsidRDefault="00814DAF" w:rsidP="00814DAF">
      <w:pPr>
        <w:jc w:val="both"/>
        <w:rPr>
          <w:sz w:val="24"/>
        </w:rPr>
      </w:pPr>
      <w:r>
        <w:rPr>
          <w:sz w:val="24"/>
        </w:rPr>
        <w:t xml:space="preserve">En caso de dudas por favor contáctenos a </w:t>
      </w:r>
      <w:hyperlink r:id="rId11" w:history="1">
        <w:r w:rsidRPr="004E79BC">
          <w:rPr>
            <w:rStyle w:val="Hipervnculo"/>
            <w:sz w:val="24"/>
          </w:rPr>
          <w:t>giancarlo.avila@pmisurperu.org</w:t>
        </w:r>
      </w:hyperlink>
    </w:p>
    <w:p w:rsidR="00814DAF" w:rsidRDefault="00814DAF" w:rsidP="00814DAF">
      <w:pPr>
        <w:jc w:val="both"/>
        <w:rPr>
          <w:sz w:val="24"/>
        </w:rPr>
      </w:pPr>
    </w:p>
    <w:p w:rsidR="00814DAF" w:rsidRDefault="00814DAF" w:rsidP="00814DAF">
      <w:pPr>
        <w:jc w:val="both"/>
        <w:rPr>
          <w:sz w:val="24"/>
        </w:rPr>
      </w:pPr>
      <w:r>
        <w:rPr>
          <w:sz w:val="24"/>
        </w:rPr>
        <w:t>Atentamente</w:t>
      </w:r>
    </w:p>
    <w:p w:rsidR="00814DAF" w:rsidRDefault="00814DAF" w:rsidP="00814DAF">
      <w:pPr>
        <w:jc w:val="both"/>
        <w:rPr>
          <w:sz w:val="24"/>
        </w:rPr>
      </w:pPr>
      <w:r>
        <w:rPr>
          <w:sz w:val="24"/>
        </w:rPr>
        <w:t xml:space="preserve">Comité Organizador PMI Tour Cono Sur 2018 – Arequipa – </w:t>
      </w:r>
      <w:r>
        <w:rPr>
          <w:sz w:val="24"/>
        </w:rPr>
        <w:t>Perú</w:t>
      </w:r>
    </w:p>
    <w:p w:rsidR="00814DAF" w:rsidRDefault="00814DAF" w:rsidP="00814DAF">
      <w:pPr>
        <w:jc w:val="both"/>
        <w:rPr>
          <w:sz w:val="24"/>
        </w:rPr>
      </w:pPr>
    </w:p>
    <w:p w:rsidR="00814DAF" w:rsidRPr="0081251E" w:rsidRDefault="00814DAF" w:rsidP="00814DAF">
      <w:pPr>
        <w:pStyle w:val="Prrafodelista"/>
        <w:numPr>
          <w:ilvl w:val="0"/>
          <w:numId w:val="1"/>
        </w:numPr>
        <w:ind w:left="426"/>
        <w:jc w:val="both"/>
        <w:rPr>
          <w:b/>
          <w:sz w:val="24"/>
        </w:rPr>
      </w:pPr>
      <w:r w:rsidRPr="0081251E">
        <w:rPr>
          <w:b/>
          <w:sz w:val="24"/>
        </w:rPr>
        <w:lastRenderedPageBreak/>
        <w:t>Postulantes</w:t>
      </w:r>
    </w:p>
    <w:p w:rsidR="00814DAF" w:rsidRDefault="00814DAF" w:rsidP="00814DAF">
      <w:pPr>
        <w:pStyle w:val="Prrafodelista"/>
        <w:ind w:left="426"/>
        <w:jc w:val="both"/>
        <w:rPr>
          <w:sz w:val="24"/>
        </w:rPr>
      </w:pPr>
      <w:r>
        <w:rPr>
          <w:sz w:val="24"/>
        </w:rPr>
        <w:t>Podrán postular sus ponencias quienes cumplan con las siguientes condiciones:</w:t>
      </w:r>
    </w:p>
    <w:p w:rsidR="00814DAF" w:rsidRDefault="00814DAF" w:rsidP="00814DAF">
      <w:pPr>
        <w:pStyle w:val="Prrafodelista"/>
        <w:ind w:left="426"/>
        <w:jc w:val="both"/>
        <w:rPr>
          <w:sz w:val="24"/>
        </w:rPr>
      </w:pPr>
    </w:p>
    <w:p w:rsidR="00814DAF" w:rsidRDefault="00814DAF" w:rsidP="00814DAF">
      <w:pPr>
        <w:pStyle w:val="Prrafodelista"/>
        <w:numPr>
          <w:ilvl w:val="0"/>
          <w:numId w:val="2"/>
        </w:numPr>
        <w:jc w:val="both"/>
        <w:rPr>
          <w:sz w:val="24"/>
        </w:rPr>
      </w:pPr>
      <w:r>
        <w:rPr>
          <w:sz w:val="24"/>
        </w:rPr>
        <w:t>Profesionales de empresas públicas o privadas de todas las industrias cuyas actividades incluyan proyectos de cualquier índole.</w:t>
      </w:r>
    </w:p>
    <w:p w:rsidR="00814DAF" w:rsidRDefault="00814DAF" w:rsidP="00814DAF">
      <w:pPr>
        <w:pStyle w:val="Prrafodelista"/>
        <w:numPr>
          <w:ilvl w:val="0"/>
          <w:numId w:val="2"/>
        </w:numPr>
        <w:jc w:val="both"/>
        <w:rPr>
          <w:sz w:val="24"/>
        </w:rPr>
      </w:pPr>
      <w:r>
        <w:rPr>
          <w:sz w:val="24"/>
        </w:rPr>
        <w:t>Gerentes, directores, profesores o investigadores en el campo de la gestión de portafolios, programas y proyectos.</w:t>
      </w:r>
    </w:p>
    <w:p w:rsidR="00814DAF" w:rsidRDefault="00814DAF" w:rsidP="00814DAF">
      <w:pPr>
        <w:pStyle w:val="Prrafodelista"/>
        <w:ind w:left="786"/>
        <w:jc w:val="both"/>
        <w:rPr>
          <w:sz w:val="24"/>
        </w:rPr>
      </w:pPr>
    </w:p>
    <w:p w:rsidR="00814DAF" w:rsidRPr="0081251E" w:rsidRDefault="00814DAF" w:rsidP="00814DAF">
      <w:pPr>
        <w:pStyle w:val="Prrafodelista"/>
        <w:numPr>
          <w:ilvl w:val="0"/>
          <w:numId w:val="1"/>
        </w:numPr>
        <w:ind w:left="426"/>
        <w:jc w:val="both"/>
        <w:rPr>
          <w:b/>
          <w:sz w:val="24"/>
        </w:rPr>
      </w:pPr>
      <w:r w:rsidRPr="0081251E">
        <w:rPr>
          <w:b/>
          <w:sz w:val="24"/>
        </w:rPr>
        <w:t>Temática</w:t>
      </w:r>
    </w:p>
    <w:p w:rsidR="00814DAF" w:rsidRDefault="00814DAF" w:rsidP="00814DAF">
      <w:pPr>
        <w:pStyle w:val="Prrafodelista"/>
        <w:ind w:left="426"/>
        <w:jc w:val="both"/>
        <w:rPr>
          <w:sz w:val="24"/>
        </w:rPr>
      </w:pPr>
      <w:r>
        <w:rPr>
          <w:sz w:val="24"/>
        </w:rPr>
        <w:t>Las ponencias a presentar deberán abordar las temáticas desde la perspectiva de la Gestión de Portafolio, Programa o Proyecto. No existen restricciones de sectores industriales, comerciales o académicos. Las ponencias deberán estar enmarcadas en uno de los siguientes temas, no excluyentes:</w:t>
      </w:r>
    </w:p>
    <w:p w:rsidR="00814DAF" w:rsidRDefault="00814DAF" w:rsidP="00814DAF">
      <w:pPr>
        <w:pStyle w:val="Prrafodelista"/>
        <w:numPr>
          <w:ilvl w:val="0"/>
          <w:numId w:val="2"/>
        </w:numPr>
        <w:jc w:val="both"/>
        <w:rPr>
          <w:sz w:val="24"/>
        </w:rPr>
      </w:pPr>
      <w:r>
        <w:rPr>
          <w:sz w:val="24"/>
        </w:rPr>
        <w:t>Triángulo del Talento PMI: Liderazgo, Técnicas y Negocio</w:t>
      </w:r>
    </w:p>
    <w:p w:rsidR="00814DAF" w:rsidRDefault="00814DAF" w:rsidP="00814DAF">
      <w:pPr>
        <w:pStyle w:val="Prrafodelista"/>
        <w:numPr>
          <w:ilvl w:val="0"/>
          <w:numId w:val="2"/>
        </w:numPr>
        <w:jc w:val="both"/>
        <w:rPr>
          <w:sz w:val="24"/>
        </w:rPr>
      </w:pPr>
      <w:r>
        <w:rPr>
          <w:sz w:val="24"/>
        </w:rPr>
        <w:t>Project Management Office</w:t>
      </w:r>
    </w:p>
    <w:p w:rsidR="00814DAF" w:rsidRDefault="00814DAF" w:rsidP="00814DAF">
      <w:pPr>
        <w:pStyle w:val="Prrafodelista"/>
        <w:numPr>
          <w:ilvl w:val="0"/>
          <w:numId w:val="2"/>
        </w:numPr>
        <w:jc w:val="both"/>
        <w:rPr>
          <w:sz w:val="24"/>
        </w:rPr>
      </w:pPr>
      <w:r>
        <w:rPr>
          <w:sz w:val="24"/>
        </w:rPr>
        <w:t>Gestión de Proyectos Ágiles</w:t>
      </w:r>
    </w:p>
    <w:p w:rsidR="00814DAF" w:rsidRDefault="00814DAF" w:rsidP="00814DAF">
      <w:pPr>
        <w:pStyle w:val="Prrafodelista"/>
        <w:numPr>
          <w:ilvl w:val="0"/>
          <w:numId w:val="2"/>
        </w:numPr>
        <w:jc w:val="both"/>
        <w:rPr>
          <w:sz w:val="24"/>
        </w:rPr>
      </w:pPr>
      <w:r>
        <w:rPr>
          <w:sz w:val="24"/>
        </w:rPr>
        <w:t>Habilidades Blandas</w:t>
      </w:r>
    </w:p>
    <w:p w:rsidR="00814DAF" w:rsidRDefault="00814DAF" w:rsidP="00814DAF">
      <w:pPr>
        <w:pStyle w:val="Prrafodelista"/>
        <w:numPr>
          <w:ilvl w:val="0"/>
          <w:numId w:val="2"/>
        </w:numPr>
        <w:jc w:val="both"/>
        <w:rPr>
          <w:sz w:val="24"/>
        </w:rPr>
      </w:pPr>
      <w:r>
        <w:rPr>
          <w:sz w:val="24"/>
        </w:rPr>
        <w:t>Gestión de Riesgos</w:t>
      </w:r>
    </w:p>
    <w:p w:rsidR="00814DAF" w:rsidRDefault="00814DAF" w:rsidP="00814DAF">
      <w:pPr>
        <w:pStyle w:val="Prrafodelista"/>
        <w:numPr>
          <w:ilvl w:val="0"/>
          <w:numId w:val="2"/>
        </w:numPr>
        <w:jc w:val="both"/>
        <w:rPr>
          <w:sz w:val="24"/>
        </w:rPr>
      </w:pPr>
      <w:r>
        <w:rPr>
          <w:sz w:val="24"/>
        </w:rPr>
        <w:t>Gestión del cambio</w:t>
      </w:r>
    </w:p>
    <w:p w:rsidR="00814DAF" w:rsidRDefault="00814DAF" w:rsidP="00814DAF">
      <w:pPr>
        <w:pStyle w:val="Prrafodelista"/>
        <w:numPr>
          <w:ilvl w:val="0"/>
          <w:numId w:val="2"/>
        </w:numPr>
        <w:jc w:val="both"/>
        <w:rPr>
          <w:sz w:val="24"/>
        </w:rPr>
      </w:pPr>
      <w:r>
        <w:rPr>
          <w:sz w:val="24"/>
        </w:rPr>
        <w:t>Gestión de Portafolios</w:t>
      </w:r>
    </w:p>
    <w:p w:rsidR="00814DAF" w:rsidRDefault="00814DAF" w:rsidP="00814DAF">
      <w:pPr>
        <w:pStyle w:val="Prrafodelista"/>
        <w:numPr>
          <w:ilvl w:val="0"/>
          <w:numId w:val="2"/>
        </w:numPr>
        <w:jc w:val="both"/>
        <w:rPr>
          <w:sz w:val="24"/>
        </w:rPr>
      </w:pPr>
      <w:r>
        <w:rPr>
          <w:sz w:val="24"/>
        </w:rPr>
        <w:t>Gestión de Programas</w:t>
      </w:r>
    </w:p>
    <w:p w:rsidR="00814DAF" w:rsidRDefault="00814DAF" w:rsidP="00814DAF">
      <w:pPr>
        <w:pStyle w:val="Prrafodelista"/>
        <w:numPr>
          <w:ilvl w:val="0"/>
          <w:numId w:val="2"/>
        </w:numPr>
        <w:jc w:val="both"/>
        <w:rPr>
          <w:sz w:val="24"/>
        </w:rPr>
      </w:pPr>
      <w:r>
        <w:rPr>
          <w:sz w:val="24"/>
        </w:rPr>
        <w:t>Transformación Digital</w:t>
      </w:r>
    </w:p>
    <w:p w:rsidR="00814DAF" w:rsidRDefault="00814DAF" w:rsidP="00814DAF">
      <w:pPr>
        <w:pStyle w:val="Prrafodelista"/>
        <w:numPr>
          <w:ilvl w:val="0"/>
          <w:numId w:val="2"/>
        </w:numPr>
        <w:jc w:val="both"/>
        <w:rPr>
          <w:sz w:val="24"/>
        </w:rPr>
      </w:pPr>
      <w:r>
        <w:rPr>
          <w:sz w:val="24"/>
        </w:rPr>
        <w:t>PMBOOK 6ta Edición</w:t>
      </w:r>
    </w:p>
    <w:p w:rsidR="00814DAF" w:rsidRDefault="00814DAF" w:rsidP="00814DAF">
      <w:pPr>
        <w:pStyle w:val="Prrafodelista"/>
        <w:numPr>
          <w:ilvl w:val="0"/>
          <w:numId w:val="2"/>
        </w:numPr>
        <w:jc w:val="both"/>
        <w:rPr>
          <w:sz w:val="24"/>
        </w:rPr>
      </w:pPr>
      <w:r>
        <w:rPr>
          <w:sz w:val="24"/>
        </w:rPr>
        <w:t>Disrupción</w:t>
      </w:r>
    </w:p>
    <w:p w:rsidR="00814DAF" w:rsidRDefault="00814DAF" w:rsidP="00814DAF">
      <w:pPr>
        <w:pStyle w:val="Prrafodelista"/>
        <w:numPr>
          <w:ilvl w:val="0"/>
          <w:numId w:val="2"/>
        </w:numPr>
        <w:jc w:val="both"/>
        <w:rPr>
          <w:sz w:val="24"/>
        </w:rPr>
      </w:pPr>
      <w:r>
        <w:rPr>
          <w:sz w:val="24"/>
        </w:rPr>
        <w:t>Management 3.0</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r>
        <w:rPr>
          <w:sz w:val="24"/>
        </w:rPr>
        <w:t>Buscamos diversificar las modalidades de presentación de manera de promover la participación activa de los asistentes para generar un mejor aprendizaje de los conceptos expuestos.</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r>
        <w:rPr>
          <w:sz w:val="24"/>
        </w:rPr>
        <w:t>Los disertantes no podrán usar las sesiones con fines comerciales o de autopromoción.</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Pr="003A05C3" w:rsidRDefault="00814DAF" w:rsidP="00814DAF">
      <w:pPr>
        <w:pStyle w:val="Prrafodelista"/>
        <w:numPr>
          <w:ilvl w:val="0"/>
          <w:numId w:val="1"/>
        </w:numPr>
        <w:ind w:left="426"/>
        <w:jc w:val="both"/>
        <w:rPr>
          <w:b/>
          <w:sz w:val="24"/>
        </w:rPr>
      </w:pPr>
      <w:r>
        <w:rPr>
          <w:b/>
          <w:sz w:val="24"/>
        </w:rPr>
        <w:t>Audiencia</w:t>
      </w:r>
    </w:p>
    <w:p w:rsidR="00814DAF" w:rsidRDefault="00814DAF" w:rsidP="00814DAF">
      <w:pPr>
        <w:pStyle w:val="Prrafodelista"/>
        <w:ind w:left="426"/>
        <w:jc w:val="both"/>
        <w:rPr>
          <w:sz w:val="24"/>
        </w:rPr>
      </w:pPr>
      <w:r>
        <w:rPr>
          <w:sz w:val="24"/>
        </w:rPr>
        <w:t>El congreso está dirigido a profesionales quienes desean profundizar en algún aspecto de la gestión de proyectos por lo que se dará prioridad a las exposiciones que busquen presentar casos prácticos y situaciones reales en el cual se pueda explicar la aplicación de las buenas prácticas y de herramientas de Gestión de proyectos que dieron lugar a sobrepasar situaciones con éxito.</w:t>
      </w:r>
    </w:p>
    <w:p w:rsidR="00814DAF" w:rsidRDefault="00814DAF" w:rsidP="00814DAF">
      <w:pPr>
        <w:pStyle w:val="Prrafodelista"/>
        <w:ind w:left="426"/>
        <w:jc w:val="both"/>
        <w:rPr>
          <w:sz w:val="24"/>
        </w:rPr>
      </w:pPr>
      <w:r>
        <w:rPr>
          <w:sz w:val="24"/>
        </w:rPr>
        <w:t>En esta oportunidad se espera una concurrencia de 300 participantes en un salón plenario.</w:t>
      </w:r>
    </w:p>
    <w:p w:rsidR="00814DAF" w:rsidRDefault="00814DAF" w:rsidP="00814DAF">
      <w:pPr>
        <w:pStyle w:val="Prrafodelista"/>
        <w:ind w:left="426"/>
        <w:jc w:val="both"/>
        <w:rPr>
          <w:sz w:val="24"/>
        </w:rPr>
      </w:pPr>
    </w:p>
    <w:p w:rsidR="00814DAF" w:rsidRPr="00F56EA4" w:rsidRDefault="00814DAF" w:rsidP="00814DAF">
      <w:pPr>
        <w:pStyle w:val="Prrafodelista"/>
        <w:numPr>
          <w:ilvl w:val="0"/>
          <w:numId w:val="1"/>
        </w:numPr>
        <w:ind w:left="426"/>
        <w:jc w:val="both"/>
        <w:rPr>
          <w:b/>
          <w:sz w:val="24"/>
        </w:rPr>
      </w:pPr>
      <w:r w:rsidRPr="00F56EA4">
        <w:rPr>
          <w:b/>
          <w:sz w:val="24"/>
        </w:rPr>
        <w:t>Presentación de Propuestas</w:t>
      </w:r>
    </w:p>
    <w:p w:rsidR="00814DAF" w:rsidRDefault="00814DAF" w:rsidP="00814DAF">
      <w:pPr>
        <w:pStyle w:val="Prrafodelista"/>
        <w:ind w:left="426"/>
        <w:jc w:val="both"/>
        <w:rPr>
          <w:sz w:val="24"/>
        </w:rPr>
      </w:pPr>
      <w:r>
        <w:rPr>
          <w:sz w:val="24"/>
        </w:rPr>
        <w:t xml:space="preserve">Las propuestas deberán ser presentadas en formato digital (Word o PDF) adjuntando la hoja de vida del expositor. </w:t>
      </w:r>
    </w:p>
    <w:p w:rsidR="00814DAF" w:rsidRDefault="00814DAF" w:rsidP="00814DAF">
      <w:pPr>
        <w:pStyle w:val="Prrafodelista"/>
        <w:ind w:left="426"/>
        <w:jc w:val="both"/>
        <w:rPr>
          <w:sz w:val="24"/>
        </w:rPr>
      </w:pPr>
      <w:r>
        <w:rPr>
          <w:sz w:val="24"/>
        </w:rPr>
        <w:t xml:space="preserve">Estas deberán ser entregadas vía correo electrónico a </w:t>
      </w:r>
      <w:hyperlink r:id="rId12" w:history="1">
        <w:r w:rsidRPr="004E79BC">
          <w:rPr>
            <w:rStyle w:val="Hipervnculo"/>
            <w:sz w:val="24"/>
          </w:rPr>
          <w:t>giancarlo.avila@pmisurperu.org</w:t>
        </w:r>
      </w:hyperlink>
      <w:r>
        <w:rPr>
          <w:sz w:val="24"/>
        </w:rPr>
        <w:t xml:space="preserve">. </w:t>
      </w:r>
    </w:p>
    <w:p w:rsidR="00814DAF" w:rsidRDefault="00814DAF" w:rsidP="00814DAF">
      <w:pPr>
        <w:pStyle w:val="Prrafodelista"/>
        <w:ind w:left="426"/>
        <w:jc w:val="both"/>
        <w:rPr>
          <w:sz w:val="24"/>
        </w:rPr>
      </w:pPr>
      <w:r>
        <w:rPr>
          <w:sz w:val="24"/>
        </w:rPr>
        <w:t>La propuesta a presentar deberá contener los siguientes puntos:</w:t>
      </w:r>
    </w:p>
    <w:p w:rsidR="00814DAF" w:rsidRDefault="00814DAF" w:rsidP="00814DAF">
      <w:pPr>
        <w:pStyle w:val="Prrafodelista"/>
        <w:ind w:left="426"/>
        <w:jc w:val="both"/>
        <w:rPr>
          <w:sz w:val="24"/>
        </w:rPr>
      </w:pPr>
    </w:p>
    <w:p w:rsidR="00814DAF" w:rsidRDefault="00814DAF" w:rsidP="00814DAF">
      <w:pPr>
        <w:pStyle w:val="Prrafodelista"/>
        <w:numPr>
          <w:ilvl w:val="0"/>
          <w:numId w:val="3"/>
        </w:numPr>
        <w:jc w:val="both"/>
        <w:rPr>
          <w:sz w:val="24"/>
        </w:rPr>
      </w:pPr>
      <w:r>
        <w:rPr>
          <w:sz w:val="24"/>
        </w:rPr>
        <w:t>Título del Tema</w:t>
      </w:r>
    </w:p>
    <w:p w:rsidR="00814DAF" w:rsidRDefault="00814DAF" w:rsidP="00814DAF">
      <w:pPr>
        <w:pStyle w:val="Prrafodelista"/>
        <w:numPr>
          <w:ilvl w:val="0"/>
          <w:numId w:val="3"/>
        </w:numPr>
        <w:jc w:val="both"/>
        <w:rPr>
          <w:sz w:val="24"/>
        </w:rPr>
      </w:pPr>
      <w:r>
        <w:rPr>
          <w:sz w:val="24"/>
        </w:rPr>
        <w:t>Autor</w:t>
      </w:r>
    </w:p>
    <w:p w:rsidR="00814DAF" w:rsidRDefault="00814DAF" w:rsidP="00814DAF">
      <w:pPr>
        <w:pStyle w:val="Prrafodelista"/>
        <w:numPr>
          <w:ilvl w:val="0"/>
          <w:numId w:val="3"/>
        </w:numPr>
        <w:jc w:val="both"/>
        <w:rPr>
          <w:sz w:val="24"/>
        </w:rPr>
      </w:pPr>
      <w:r>
        <w:rPr>
          <w:sz w:val="24"/>
        </w:rPr>
        <w:t>Descripción general del Tema y su contexto</w:t>
      </w:r>
    </w:p>
    <w:p w:rsidR="00814DAF" w:rsidRDefault="00814DAF" w:rsidP="00814DAF">
      <w:pPr>
        <w:pStyle w:val="Prrafodelista"/>
        <w:numPr>
          <w:ilvl w:val="0"/>
          <w:numId w:val="3"/>
        </w:numPr>
        <w:jc w:val="both"/>
        <w:rPr>
          <w:sz w:val="24"/>
        </w:rPr>
      </w:pPr>
      <w:r>
        <w:rPr>
          <w:sz w:val="24"/>
        </w:rPr>
        <w:t>Objetivo de aprendizaje</w:t>
      </w:r>
    </w:p>
    <w:p w:rsidR="00814DAF" w:rsidRDefault="00814DAF" w:rsidP="00814DAF">
      <w:pPr>
        <w:pStyle w:val="Prrafodelista"/>
        <w:numPr>
          <w:ilvl w:val="0"/>
          <w:numId w:val="3"/>
        </w:numPr>
        <w:jc w:val="both"/>
        <w:rPr>
          <w:sz w:val="24"/>
        </w:rPr>
      </w:pPr>
      <w:r>
        <w:rPr>
          <w:sz w:val="24"/>
        </w:rPr>
        <w:t>Alcance</w:t>
      </w:r>
    </w:p>
    <w:p w:rsidR="00814DAF" w:rsidRDefault="00814DAF" w:rsidP="00814DAF">
      <w:pPr>
        <w:pStyle w:val="Prrafodelista"/>
        <w:numPr>
          <w:ilvl w:val="0"/>
          <w:numId w:val="3"/>
        </w:numPr>
        <w:jc w:val="both"/>
        <w:rPr>
          <w:sz w:val="24"/>
        </w:rPr>
      </w:pPr>
      <w:r>
        <w:rPr>
          <w:sz w:val="24"/>
        </w:rPr>
        <w:t>Desarrollo(2 hojas como máximo): En este punto se deberá explicar el alcance de cada tópico a abordar</w:t>
      </w:r>
    </w:p>
    <w:p w:rsidR="00814DAF" w:rsidRDefault="00814DAF" w:rsidP="00814DAF">
      <w:pPr>
        <w:pStyle w:val="Prrafodelista"/>
        <w:numPr>
          <w:ilvl w:val="0"/>
          <w:numId w:val="3"/>
        </w:numPr>
        <w:jc w:val="both"/>
        <w:rPr>
          <w:sz w:val="24"/>
        </w:rPr>
      </w:pPr>
      <w:r>
        <w:rPr>
          <w:sz w:val="24"/>
        </w:rPr>
        <w:t>Industria o industrias en donde se aplica la exposición</w:t>
      </w:r>
    </w:p>
    <w:p w:rsidR="00814DAF" w:rsidRDefault="00814DAF" w:rsidP="00814DAF">
      <w:pPr>
        <w:pStyle w:val="Prrafodelista"/>
        <w:numPr>
          <w:ilvl w:val="0"/>
          <w:numId w:val="3"/>
        </w:numPr>
        <w:jc w:val="both"/>
        <w:rPr>
          <w:sz w:val="24"/>
        </w:rPr>
      </w:pPr>
      <w:r>
        <w:rPr>
          <w:sz w:val="24"/>
        </w:rPr>
        <w:t>Conclusiones</w:t>
      </w:r>
    </w:p>
    <w:p w:rsidR="00814DAF" w:rsidRDefault="00814DAF" w:rsidP="00814DAF">
      <w:pPr>
        <w:pStyle w:val="Prrafodelista"/>
        <w:ind w:left="426"/>
        <w:jc w:val="both"/>
        <w:rPr>
          <w:sz w:val="24"/>
        </w:rPr>
      </w:pPr>
    </w:p>
    <w:p w:rsidR="00814DAF" w:rsidRPr="00F56EA4" w:rsidRDefault="00814DAF" w:rsidP="00814DAF">
      <w:pPr>
        <w:pStyle w:val="Prrafodelista"/>
        <w:numPr>
          <w:ilvl w:val="0"/>
          <w:numId w:val="1"/>
        </w:numPr>
        <w:ind w:left="426"/>
        <w:jc w:val="both"/>
        <w:rPr>
          <w:b/>
          <w:sz w:val="24"/>
        </w:rPr>
      </w:pPr>
      <w:r w:rsidRPr="00F56EA4">
        <w:rPr>
          <w:b/>
          <w:sz w:val="24"/>
        </w:rPr>
        <w:t>Consideraciones para el momento de la presentación</w:t>
      </w:r>
    </w:p>
    <w:p w:rsidR="00814DAF" w:rsidRDefault="00814DAF" w:rsidP="00814DAF">
      <w:pPr>
        <w:pStyle w:val="Prrafodelista"/>
        <w:ind w:left="426"/>
        <w:jc w:val="both"/>
        <w:rPr>
          <w:sz w:val="24"/>
        </w:rPr>
      </w:pPr>
      <w:r>
        <w:rPr>
          <w:sz w:val="24"/>
        </w:rPr>
        <w:t>La sala donde se llevaran a cabo las presentaciones contarán con:</w:t>
      </w:r>
    </w:p>
    <w:p w:rsidR="00814DAF" w:rsidRDefault="00814DAF" w:rsidP="00814DAF">
      <w:pPr>
        <w:pStyle w:val="Prrafodelista"/>
        <w:numPr>
          <w:ilvl w:val="0"/>
          <w:numId w:val="2"/>
        </w:numPr>
        <w:jc w:val="both"/>
        <w:rPr>
          <w:sz w:val="24"/>
        </w:rPr>
      </w:pPr>
      <w:r>
        <w:rPr>
          <w:sz w:val="24"/>
        </w:rPr>
        <w:t>Sistema de Audio: Amplificación, micrófonos y audio</w:t>
      </w:r>
    </w:p>
    <w:p w:rsidR="00814DAF" w:rsidRDefault="00814DAF" w:rsidP="00814DAF">
      <w:pPr>
        <w:pStyle w:val="Prrafodelista"/>
        <w:numPr>
          <w:ilvl w:val="0"/>
          <w:numId w:val="2"/>
        </w:numPr>
        <w:jc w:val="both"/>
        <w:rPr>
          <w:sz w:val="24"/>
        </w:rPr>
      </w:pPr>
      <w:r>
        <w:rPr>
          <w:sz w:val="24"/>
        </w:rPr>
        <w:t>Laptop, proyector y estrado</w:t>
      </w:r>
    </w:p>
    <w:p w:rsidR="00814DAF" w:rsidRDefault="00814DAF" w:rsidP="00814DAF">
      <w:pPr>
        <w:pStyle w:val="Prrafodelista"/>
        <w:numPr>
          <w:ilvl w:val="0"/>
          <w:numId w:val="2"/>
        </w:numPr>
        <w:jc w:val="both"/>
        <w:rPr>
          <w:sz w:val="24"/>
        </w:rPr>
      </w:pPr>
      <w:r>
        <w:rPr>
          <w:sz w:val="24"/>
        </w:rPr>
        <w:t>Asistentes de exposición.</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Pr="00923F5B" w:rsidRDefault="00814DAF" w:rsidP="00814DAF">
      <w:pPr>
        <w:pStyle w:val="Prrafodelista"/>
        <w:numPr>
          <w:ilvl w:val="0"/>
          <w:numId w:val="1"/>
        </w:numPr>
        <w:ind w:left="426"/>
        <w:jc w:val="both"/>
        <w:rPr>
          <w:b/>
          <w:sz w:val="24"/>
        </w:rPr>
      </w:pPr>
      <w:r w:rsidRPr="00923F5B">
        <w:rPr>
          <w:b/>
          <w:sz w:val="24"/>
        </w:rPr>
        <w:t>Selección de Ponencias:</w:t>
      </w:r>
    </w:p>
    <w:p w:rsidR="00814DAF" w:rsidRDefault="00814DAF" w:rsidP="00814DAF">
      <w:pPr>
        <w:pStyle w:val="Prrafodelista"/>
        <w:ind w:left="426"/>
        <w:jc w:val="both"/>
        <w:rPr>
          <w:sz w:val="24"/>
        </w:rPr>
      </w:pPr>
      <w:r>
        <w:rPr>
          <w:sz w:val="24"/>
        </w:rPr>
        <w:t>El proceso de selección será realizado por un comité de Selección definido por el Board del PMI Southern Peru Region Chapter.</w:t>
      </w:r>
    </w:p>
    <w:p w:rsidR="00814DAF" w:rsidRDefault="00814DAF" w:rsidP="00814DAF">
      <w:pPr>
        <w:pStyle w:val="Prrafodelista"/>
        <w:ind w:left="426"/>
        <w:jc w:val="both"/>
        <w:rPr>
          <w:sz w:val="24"/>
        </w:rPr>
      </w:pPr>
      <w:r>
        <w:rPr>
          <w:sz w:val="24"/>
        </w:rPr>
        <w:t>Criterios de Selección: La evaluación se realizará considerando los siguientes criterios:</w:t>
      </w:r>
    </w:p>
    <w:p w:rsidR="00814DAF" w:rsidRDefault="00814DAF" w:rsidP="00814DAF">
      <w:pPr>
        <w:pStyle w:val="Prrafodelista"/>
        <w:numPr>
          <w:ilvl w:val="0"/>
          <w:numId w:val="2"/>
        </w:numPr>
        <w:jc w:val="both"/>
        <w:rPr>
          <w:sz w:val="24"/>
        </w:rPr>
      </w:pPr>
      <w:r>
        <w:rPr>
          <w:sz w:val="24"/>
        </w:rPr>
        <w:t>Propósito claramente establecido de lo que obtendrá el asistente</w:t>
      </w:r>
    </w:p>
    <w:p w:rsidR="00814DAF" w:rsidRDefault="00814DAF" w:rsidP="00814DAF">
      <w:pPr>
        <w:pStyle w:val="Prrafodelista"/>
        <w:numPr>
          <w:ilvl w:val="0"/>
          <w:numId w:val="2"/>
        </w:numPr>
        <w:jc w:val="both"/>
        <w:rPr>
          <w:sz w:val="24"/>
        </w:rPr>
      </w:pPr>
      <w:r>
        <w:rPr>
          <w:sz w:val="24"/>
        </w:rPr>
        <w:t>Relevancia y posibilidad de aplicación</w:t>
      </w:r>
    </w:p>
    <w:p w:rsidR="00814DAF" w:rsidRDefault="00814DAF" w:rsidP="00814DAF">
      <w:pPr>
        <w:pStyle w:val="Prrafodelista"/>
        <w:numPr>
          <w:ilvl w:val="0"/>
          <w:numId w:val="2"/>
        </w:numPr>
        <w:jc w:val="both"/>
        <w:rPr>
          <w:sz w:val="24"/>
        </w:rPr>
      </w:pPr>
      <w:r>
        <w:rPr>
          <w:sz w:val="24"/>
        </w:rPr>
        <w:t>Ponencias enmarcadas en las temáticas descritas en el punto 2</w:t>
      </w:r>
    </w:p>
    <w:p w:rsidR="00814DAF" w:rsidRDefault="00814DAF" w:rsidP="00814DAF">
      <w:pPr>
        <w:pStyle w:val="Prrafodelista"/>
        <w:numPr>
          <w:ilvl w:val="0"/>
          <w:numId w:val="2"/>
        </w:numPr>
        <w:jc w:val="both"/>
        <w:rPr>
          <w:sz w:val="24"/>
        </w:rPr>
      </w:pPr>
      <w:r>
        <w:rPr>
          <w:sz w:val="24"/>
        </w:rPr>
        <w:t>Objetivos de aprendizaje claramente definidos</w:t>
      </w:r>
    </w:p>
    <w:p w:rsidR="00814DAF" w:rsidRDefault="00814DAF" w:rsidP="00814DAF">
      <w:pPr>
        <w:pStyle w:val="Prrafodelista"/>
        <w:numPr>
          <w:ilvl w:val="0"/>
          <w:numId w:val="2"/>
        </w:numPr>
        <w:jc w:val="both"/>
        <w:rPr>
          <w:sz w:val="24"/>
        </w:rPr>
      </w:pPr>
      <w:r>
        <w:rPr>
          <w:sz w:val="24"/>
        </w:rPr>
        <w:t>Experiencia en presentaciones anteriores en Congresos</w:t>
      </w:r>
    </w:p>
    <w:p w:rsidR="00814DAF" w:rsidRDefault="00814DAF" w:rsidP="00814DAF">
      <w:pPr>
        <w:pStyle w:val="Prrafodelista"/>
        <w:numPr>
          <w:ilvl w:val="0"/>
          <w:numId w:val="2"/>
        </w:numPr>
        <w:jc w:val="both"/>
        <w:rPr>
          <w:sz w:val="24"/>
        </w:rPr>
      </w:pPr>
      <w:r>
        <w:rPr>
          <w:sz w:val="24"/>
        </w:rPr>
        <w:t>Experiencia del expositor</w:t>
      </w:r>
    </w:p>
    <w:p w:rsidR="00814DAF" w:rsidRDefault="00814DAF" w:rsidP="00814DAF">
      <w:pPr>
        <w:ind w:left="426"/>
        <w:jc w:val="both"/>
        <w:rPr>
          <w:sz w:val="24"/>
        </w:rPr>
      </w:pPr>
    </w:p>
    <w:p w:rsidR="00814DAF" w:rsidRDefault="00814DAF" w:rsidP="00814DAF">
      <w:pPr>
        <w:ind w:left="426"/>
        <w:jc w:val="both"/>
        <w:rPr>
          <w:sz w:val="24"/>
        </w:rPr>
      </w:pPr>
      <w:r>
        <w:rPr>
          <w:sz w:val="24"/>
        </w:rPr>
        <w:t>Si alguna propuesta careciera de alguno de los datos mencionados, quedará a criterio del Comité de Selección si se evalúa. EL comité podrá solicitar aclaraciones, completar o ampliar alguno de los datos, si se lo entiende conveniente. Dicha solicitud, así como todas las comunicaciones con los postulantes, se hará por medio del correo electrónico, a la casilla indicada en los datos presentados.</w:t>
      </w:r>
    </w:p>
    <w:p w:rsidR="00814DAF" w:rsidRDefault="00814DAF" w:rsidP="00814DAF">
      <w:pPr>
        <w:ind w:left="426"/>
        <w:jc w:val="both"/>
        <w:rPr>
          <w:sz w:val="24"/>
        </w:rPr>
      </w:pPr>
      <w:r>
        <w:rPr>
          <w:sz w:val="24"/>
        </w:rPr>
        <w:t>El comité de selección se reserva el derecho de rechazar o editar cualquier propuesta cuyo contenido sea ofensivo o difamatorio, o que contenga informaciones políticamente sensibles, apoye el racismo, discriminación sexual o religiosa, actividades ilegales y terrorismo.</w:t>
      </w:r>
    </w:p>
    <w:p w:rsidR="00814DAF" w:rsidRDefault="00814DAF" w:rsidP="00814DAF">
      <w:pPr>
        <w:pStyle w:val="Prrafodelista"/>
        <w:ind w:left="426"/>
        <w:jc w:val="both"/>
        <w:rPr>
          <w:sz w:val="24"/>
        </w:rPr>
      </w:pPr>
    </w:p>
    <w:p w:rsidR="00814DAF" w:rsidRPr="00B145AE" w:rsidRDefault="00814DAF" w:rsidP="00814DAF">
      <w:pPr>
        <w:pStyle w:val="Prrafodelista"/>
        <w:numPr>
          <w:ilvl w:val="0"/>
          <w:numId w:val="1"/>
        </w:numPr>
        <w:ind w:left="426"/>
        <w:jc w:val="both"/>
        <w:rPr>
          <w:b/>
          <w:sz w:val="24"/>
        </w:rPr>
      </w:pPr>
      <w:r w:rsidRPr="00B145AE">
        <w:rPr>
          <w:b/>
          <w:sz w:val="24"/>
        </w:rPr>
        <w:t>Propiedad Intelectual</w:t>
      </w:r>
    </w:p>
    <w:p w:rsidR="00814DAF" w:rsidRDefault="00814DAF" w:rsidP="00814DAF">
      <w:pPr>
        <w:pStyle w:val="Prrafodelista"/>
        <w:ind w:left="426"/>
        <w:jc w:val="both"/>
        <w:rPr>
          <w:sz w:val="24"/>
        </w:rPr>
      </w:pPr>
      <w:r>
        <w:rPr>
          <w:sz w:val="24"/>
        </w:rPr>
        <w:t>Las presentaciones deberán consistir solo en el trabajo original de los expositores y no deberá violar ninguna propiedad intelectual o derechos personales (incluyendo derechos de autor, marcas registradas, y otros derechos privados), y no deberá incluir contenido difamatorio o contrario a la ley. El expositor debe poseer los derechos sobre la presentación o haber obtenido todos los permisos o licencias necesarias de las personas u organizaciones cuyo material sea usado en la presentación.</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r>
        <w:rPr>
          <w:sz w:val="24"/>
        </w:rPr>
        <w:t>Las presentaciones y el material expuesto en el Congreso serán publicados en los medios de difusión dispuestos por el capítulo PMI Southern Peru Region.</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Pr="00B145AE" w:rsidRDefault="00814DAF" w:rsidP="00814DAF">
      <w:pPr>
        <w:pStyle w:val="Prrafodelista"/>
        <w:numPr>
          <w:ilvl w:val="0"/>
          <w:numId w:val="1"/>
        </w:numPr>
        <w:ind w:left="426"/>
        <w:jc w:val="both"/>
        <w:rPr>
          <w:b/>
          <w:sz w:val="24"/>
        </w:rPr>
      </w:pPr>
      <w:r w:rsidRPr="00B145AE">
        <w:rPr>
          <w:b/>
          <w:sz w:val="24"/>
        </w:rPr>
        <w:t>Política de Cancelación de expositores</w:t>
      </w:r>
    </w:p>
    <w:p w:rsidR="00814DAF" w:rsidRDefault="00814DAF" w:rsidP="00814DAF">
      <w:pPr>
        <w:pStyle w:val="Prrafodelista"/>
        <w:ind w:left="426"/>
        <w:jc w:val="both"/>
        <w:rPr>
          <w:sz w:val="24"/>
        </w:rPr>
      </w:pPr>
      <w:r>
        <w:rPr>
          <w:sz w:val="24"/>
        </w:rPr>
        <w:t>La no presentación del contenido definitivo de una ponencia en la fecha programada, habilitará al comité a descartarla y seleccionar un respaldo.</w:t>
      </w:r>
    </w:p>
    <w:p w:rsidR="00814DAF" w:rsidRDefault="00814DAF" w:rsidP="00814DAF">
      <w:pPr>
        <w:pStyle w:val="Prrafodelista"/>
        <w:ind w:left="426"/>
        <w:jc w:val="both"/>
        <w:rPr>
          <w:sz w:val="24"/>
        </w:rPr>
      </w:pPr>
      <w:r>
        <w:rPr>
          <w:sz w:val="24"/>
        </w:rPr>
        <w:t>Con las ponencias seleccionadas se armará el programa del Congreso y se comunicara oportunamente a los postulantes la hora y lugar donde se desarrollará la ponencia.</w:t>
      </w:r>
    </w:p>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Pr="00B145AE" w:rsidRDefault="00814DAF" w:rsidP="00814DAF">
      <w:pPr>
        <w:pStyle w:val="Prrafodelista"/>
        <w:numPr>
          <w:ilvl w:val="0"/>
          <w:numId w:val="1"/>
        </w:numPr>
        <w:ind w:left="426"/>
        <w:jc w:val="both"/>
        <w:rPr>
          <w:b/>
          <w:sz w:val="24"/>
        </w:rPr>
      </w:pPr>
      <w:r w:rsidRPr="00B145AE">
        <w:rPr>
          <w:b/>
          <w:sz w:val="24"/>
        </w:rPr>
        <w:t>Calendario del Proceso</w:t>
      </w:r>
    </w:p>
    <w:p w:rsidR="00814DAF" w:rsidRDefault="00814DAF" w:rsidP="00814DAF">
      <w:pPr>
        <w:pStyle w:val="Prrafodelista"/>
        <w:ind w:left="426"/>
        <w:jc w:val="both"/>
        <w:rPr>
          <w:sz w:val="24"/>
        </w:rPr>
      </w:pPr>
      <w:r>
        <w:rPr>
          <w:sz w:val="24"/>
        </w:rPr>
        <w:t>El proceso de selección de ponencias se realizará de acuerdo al siguiente itinerario:</w:t>
      </w:r>
    </w:p>
    <w:tbl>
      <w:tblPr>
        <w:tblW w:w="7960" w:type="dxa"/>
        <w:jc w:val="center"/>
        <w:tblInd w:w="55" w:type="dxa"/>
        <w:tblCellMar>
          <w:left w:w="70" w:type="dxa"/>
          <w:right w:w="70" w:type="dxa"/>
        </w:tblCellMar>
        <w:tblLook w:val="04A0" w:firstRow="1" w:lastRow="0" w:firstColumn="1" w:lastColumn="0" w:noHBand="0" w:noVBand="1"/>
      </w:tblPr>
      <w:tblGrid>
        <w:gridCol w:w="2640"/>
        <w:gridCol w:w="5320"/>
      </w:tblGrid>
      <w:tr w:rsidR="00814DAF" w:rsidRPr="00D92D35" w:rsidTr="00814DAF">
        <w:trPr>
          <w:trHeight w:val="600"/>
          <w:jc w:val="center"/>
        </w:trPr>
        <w:tc>
          <w:tcPr>
            <w:tcW w:w="2640" w:type="dxa"/>
            <w:tcBorders>
              <w:top w:val="single" w:sz="4" w:space="0" w:color="auto"/>
              <w:left w:val="single" w:sz="4" w:space="0" w:color="auto"/>
              <w:bottom w:val="single" w:sz="4" w:space="0" w:color="auto"/>
              <w:right w:val="single" w:sz="4" w:space="0" w:color="auto"/>
            </w:tcBorders>
            <w:shd w:val="clear" w:color="000000" w:fill="4F81BD" w:themeFill="accent1"/>
            <w:noWrap/>
            <w:vAlign w:val="center"/>
            <w:hideMark/>
          </w:tcPr>
          <w:p w:rsidR="00814DAF" w:rsidRPr="00D92D35" w:rsidRDefault="00814DAF" w:rsidP="007B15DC">
            <w:pPr>
              <w:spacing w:after="0" w:line="240" w:lineRule="auto"/>
              <w:jc w:val="center"/>
              <w:rPr>
                <w:rFonts w:ascii="Calibri" w:eastAsia="Times New Roman" w:hAnsi="Calibri" w:cs="Calibri"/>
                <w:b/>
                <w:bCs/>
                <w:color w:val="FFFFFF"/>
                <w:sz w:val="28"/>
                <w:szCs w:val="28"/>
                <w:lang w:eastAsia="es-ES"/>
              </w:rPr>
            </w:pPr>
            <w:r w:rsidRPr="00D92D35">
              <w:rPr>
                <w:rFonts w:ascii="Calibri" w:eastAsia="Times New Roman" w:hAnsi="Calibri" w:cs="Calibri"/>
                <w:b/>
                <w:bCs/>
                <w:color w:val="FFFFFF"/>
                <w:sz w:val="28"/>
                <w:szCs w:val="28"/>
                <w:lang w:eastAsia="es-ES"/>
              </w:rPr>
              <w:t>FECHA</w:t>
            </w:r>
          </w:p>
        </w:tc>
        <w:tc>
          <w:tcPr>
            <w:tcW w:w="5320" w:type="dxa"/>
            <w:tcBorders>
              <w:top w:val="single" w:sz="4" w:space="0" w:color="auto"/>
              <w:left w:val="nil"/>
              <w:bottom w:val="single" w:sz="4" w:space="0" w:color="auto"/>
              <w:right w:val="single" w:sz="4" w:space="0" w:color="auto"/>
            </w:tcBorders>
            <w:shd w:val="clear" w:color="000000" w:fill="4F81BD" w:themeFill="accent1"/>
            <w:noWrap/>
            <w:vAlign w:val="center"/>
            <w:hideMark/>
          </w:tcPr>
          <w:p w:rsidR="00814DAF" w:rsidRPr="00D92D35" w:rsidRDefault="00814DAF" w:rsidP="007B15DC">
            <w:pPr>
              <w:spacing w:after="0" w:line="240" w:lineRule="auto"/>
              <w:jc w:val="center"/>
              <w:rPr>
                <w:rFonts w:ascii="Calibri" w:eastAsia="Times New Roman" w:hAnsi="Calibri" w:cs="Calibri"/>
                <w:b/>
                <w:bCs/>
                <w:color w:val="FFFFFF"/>
                <w:sz w:val="28"/>
                <w:szCs w:val="28"/>
                <w:lang w:eastAsia="es-ES"/>
              </w:rPr>
            </w:pPr>
            <w:r w:rsidRPr="00D92D35">
              <w:rPr>
                <w:rFonts w:ascii="Calibri" w:eastAsia="Times New Roman" w:hAnsi="Calibri" w:cs="Calibri"/>
                <w:b/>
                <w:bCs/>
                <w:color w:val="FFFFFF"/>
                <w:sz w:val="28"/>
                <w:szCs w:val="28"/>
                <w:lang w:eastAsia="es-ES"/>
              </w:rPr>
              <w:t>DESCRIPCION</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31/08/2018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Plazo Final de Recepción de Ponencias</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01/09/2018 - 15/09/2018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Selección de Ponencias</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16/09/2018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Notificación de Trabajos Seleccionados</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30/09/2018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Envío de plantillas de presentaciones a utilizar</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14/10/2018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Recepción de presentaciones en Power Point Oficial</w:t>
            </w:r>
          </w:p>
        </w:tc>
      </w:tr>
      <w:tr w:rsidR="00814DAF" w:rsidRPr="00D92D35" w:rsidTr="007B15DC">
        <w:trPr>
          <w:trHeight w:val="48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jc w:val="center"/>
              <w:rPr>
                <w:rFonts w:ascii="Calibri" w:eastAsia="Times New Roman" w:hAnsi="Calibri" w:cs="Calibri"/>
                <w:color w:val="000000"/>
                <w:lang w:eastAsia="es-ES"/>
              </w:rPr>
            </w:pPr>
            <w:r w:rsidRPr="00D92D35">
              <w:rPr>
                <w:rFonts w:ascii="Calibri" w:eastAsia="Times New Roman" w:hAnsi="Calibri" w:cs="Calibri"/>
                <w:color w:val="000000"/>
                <w:lang w:eastAsia="es-ES"/>
              </w:rPr>
              <w:t>20/11/2018</w:t>
            </w:r>
          </w:p>
        </w:tc>
        <w:tc>
          <w:tcPr>
            <w:tcW w:w="5320" w:type="dxa"/>
            <w:tcBorders>
              <w:top w:val="nil"/>
              <w:left w:val="nil"/>
              <w:bottom w:val="single" w:sz="4" w:space="0" w:color="auto"/>
              <w:right w:val="single" w:sz="4" w:space="0" w:color="auto"/>
            </w:tcBorders>
            <w:shd w:val="clear" w:color="auto" w:fill="auto"/>
            <w:noWrap/>
            <w:vAlign w:val="bottom"/>
            <w:hideMark/>
          </w:tcPr>
          <w:p w:rsidR="00814DAF" w:rsidRPr="00D92D35" w:rsidRDefault="00814DAF" w:rsidP="007B15DC">
            <w:pPr>
              <w:spacing w:after="0" w:line="240" w:lineRule="auto"/>
              <w:rPr>
                <w:rFonts w:ascii="Calibri" w:eastAsia="Times New Roman" w:hAnsi="Calibri" w:cs="Calibri"/>
                <w:color w:val="000000"/>
                <w:lang w:eastAsia="es-ES"/>
              </w:rPr>
            </w:pPr>
            <w:r w:rsidRPr="00D92D35">
              <w:rPr>
                <w:rFonts w:ascii="Calibri" w:eastAsia="Times New Roman" w:hAnsi="Calibri" w:cs="Calibri"/>
                <w:color w:val="000000"/>
                <w:lang w:eastAsia="es-ES"/>
              </w:rPr>
              <w:t>Presentación del trabajo en el Congreso Internacional</w:t>
            </w:r>
          </w:p>
        </w:tc>
      </w:tr>
    </w:tbl>
    <w:p w:rsidR="00814DAF" w:rsidRDefault="00814DAF" w:rsidP="00814DAF">
      <w:pPr>
        <w:pStyle w:val="Prrafodelista"/>
        <w:ind w:left="426"/>
        <w:jc w:val="both"/>
        <w:rPr>
          <w:sz w:val="24"/>
        </w:rPr>
      </w:pPr>
    </w:p>
    <w:p w:rsidR="00814DAF" w:rsidRDefault="00814DAF" w:rsidP="00814DAF">
      <w:pPr>
        <w:pStyle w:val="Prrafodelista"/>
        <w:ind w:left="426"/>
        <w:jc w:val="both"/>
        <w:rPr>
          <w:sz w:val="24"/>
        </w:rPr>
      </w:pPr>
    </w:p>
    <w:p w:rsidR="00814DAF" w:rsidRPr="000F466E" w:rsidRDefault="00814DAF" w:rsidP="00814DAF">
      <w:pPr>
        <w:pStyle w:val="Prrafodelista"/>
        <w:numPr>
          <w:ilvl w:val="0"/>
          <w:numId w:val="1"/>
        </w:numPr>
        <w:jc w:val="both"/>
        <w:rPr>
          <w:b/>
          <w:sz w:val="24"/>
        </w:rPr>
      </w:pPr>
      <w:r w:rsidRPr="000F466E">
        <w:rPr>
          <w:b/>
          <w:sz w:val="24"/>
        </w:rPr>
        <w:t>Aspectos adicionales</w:t>
      </w:r>
    </w:p>
    <w:p w:rsidR="00814DAF" w:rsidRDefault="00814DAF" w:rsidP="00814DAF">
      <w:pPr>
        <w:pStyle w:val="Prrafodelista"/>
        <w:numPr>
          <w:ilvl w:val="0"/>
          <w:numId w:val="2"/>
        </w:numPr>
        <w:jc w:val="both"/>
        <w:rPr>
          <w:sz w:val="24"/>
        </w:rPr>
      </w:pPr>
      <w:r>
        <w:rPr>
          <w:sz w:val="24"/>
        </w:rPr>
        <w:t>Los ponentes deberán estar en el lugar al menos 1 hora antes de su presentación.</w:t>
      </w:r>
    </w:p>
    <w:p w:rsidR="00814DAF" w:rsidRDefault="00814DAF" w:rsidP="00814DAF">
      <w:pPr>
        <w:pStyle w:val="Prrafodelista"/>
        <w:numPr>
          <w:ilvl w:val="0"/>
          <w:numId w:val="2"/>
        </w:numPr>
        <w:jc w:val="both"/>
        <w:rPr>
          <w:sz w:val="24"/>
        </w:rPr>
      </w:pPr>
      <w:r>
        <w:rPr>
          <w:sz w:val="24"/>
        </w:rPr>
        <w:t>Los ponentes deberán enviar sus resúmenes de presentación 2 semanas antes del inicio de su presentación.</w:t>
      </w:r>
    </w:p>
    <w:p w:rsidR="00814DAF" w:rsidRDefault="00814DAF" w:rsidP="00814DAF">
      <w:pPr>
        <w:pStyle w:val="Prrafodelista"/>
        <w:numPr>
          <w:ilvl w:val="0"/>
          <w:numId w:val="2"/>
        </w:numPr>
        <w:jc w:val="both"/>
        <w:rPr>
          <w:sz w:val="24"/>
        </w:rPr>
      </w:pPr>
      <w:r>
        <w:rPr>
          <w:sz w:val="24"/>
        </w:rPr>
        <w:t>Los expositores que mantengan credenciales de PMI podrán acreditar la cantidad de PDUS relacionado a este concepto.</w:t>
      </w:r>
    </w:p>
    <w:p w:rsidR="00814DAF" w:rsidRPr="001366FD" w:rsidRDefault="00814DAF" w:rsidP="00814DAF">
      <w:pPr>
        <w:jc w:val="both"/>
        <w:rPr>
          <w:sz w:val="24"/>
        </w:rPr>
      </w:pPr>
    </w:p>
    <w:p w:rsidR="00814DAF" w:rsidRPr="008139DE" w:rsidRDefault="00814DAF" w:rsidP="00814DAF">
      <w:pPr>
        <w:pStyle w:val="Prrafodelista"/>
        <w:ind w:left="786"/>
        <w:jc w:val="both"/>
        <w:rPr>
          <w:sz w:val="24"/>
        </w:rPr>
      </w:pPr>
    </w:p>
    <w:p w:rsidR="00814DAF" w:rsidRDefault="00814DAF">
      <w:bookmarkStart w:id="0" w:name="_GoBack"/>
      <w:bookmarkEnd w:id="0"/>
    </w:p>
    <w:sectPr w:rsidR="00814DAF" w:rsidSect="00814DAF">
      <w:headerReference w:type="default" r:id="rId13"/>
      <w:footerReference w:type="default" r:id="rId14"/>
      <w:pgSz w:w="11906" w:h="16838"/>
      <w:pgMar w:top="142"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D62" w:rsidRDefault="00F85D62" w:rsidP="00814DAF">
      <w:pPr>
        <w:spacing w:after="0" w:line="240" w:lineRule="auto"/>
      </w:pPr>
      <w:r>
        <w:separator/>
      </w:r>
    </w:p>
  </w:endnote>
  <w:endnote w:type="continuationSeparator" w:id="0">
    <w:p w:rsidR="00F85D62" w:rsidRDefault="00F85D62" w:rsidP="00814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4DAF" w:rsidRPr="000F466E" w:rsidRDefault="00814DAF" w:rsidP="00814DAF">
    <w:pPr>
      <w:pStyle w:val="Piedepgina"/>
      <w:jc w:val="center"/>
      <w:rPr>
        <w:rFonts w:ascii="Arial" w:hAnsi="Arial" w:cs="Arial"/>
        <w:b/>
        <w:color w:val="4F81BD" w:themeColor="accent1"/>
        <w:sz w:val="18"/>
        <w:lang w:val="en-US"/>
      </w:rPr>
    </w:pPr>
    <w:r w:rsidRPr="000F466E">
      <w:rPr>
        <w:rFonts w:ascii="Arial" w:hAnsi="Arial" w:cs="Arial"/>
        <w:b/>
        <w:color w:val="4F81BD" w:themeColor="accent1"/>
        <w:sz w:val="18"/>
        <w:lang w:val="en-US"/>
      </w:rPr>
      <w:t>PMI Southern Peru Region Chapter</w:t>
    </w:r>
  </w:p>
  <w:p w:rsidR="00814DAF" w:rsidRPr="000F466E" w:rsidRDefault="00814DAF" w:rsidP="00814DAF">
    <w:pPr>
      <w:pStyle w:val="Piedepgina"/>
      <w:jc w:val="center"/>
      <w:rPr>
        <w:rFonts w:ascii="Arial" w:hAnsi="Arial" w:cs="Arial"/>
        <w:b/>
        <w:color w:val="4F81BD" w:themeColor="accent1"/>
        <w:sz w:val="18"/>
        <w:lang w:val="en-US"/>
      </w:rPr>
    </w:pPr>
    <w:r w:rsidRPr="000F466E">
      <w:rPr>
        <w:rFonts w:ascii="Arial" w:hAnsi="Arial" w:cs="Arial"/>
        <w:b/>
        <w:color w:val="4F81BD" w:themeColor="accent1"/>
        <w:sz w:val="18"/>
        <w:lang w:val="en-US"/>
      </w:rPr>
      <w:t>www.pmisurperu.org</w:t>
    </w:r>
  </w:p>
  <w:p w:rsidR="00814DAF" w:rsidRPr="00814DAF" w:rsidRDefault="00814DAF" w:rsidP="00814DAF">
    <w:pPr>
      <w:pStyle w:val="Piedepgina"/>
      <w:jc w:val="center"/>
      <w:rPr>
        <w:rFonts w:ascii="Arial" w:hAnsi="Arial" w:cs="Arial"/>
        <w:b/>
        <w:color w:val="4F81BD" w:themeColor="accent1"/>
        <w:sz w:val="18"/>
        <w:lang w:val="en-US"/>
      </w:rPr>
    </w:pPr>
    <w:r w:rsidRPr="000F466E">
      <w:rPr>
        <w:rFonts w:ascii="Arial" w:hAnsi="Arial" w:cs="Arial"/>
        <w:b/>
        <w:color w:val="4F81BD" w:themeColor="accent1"/>
        <w:sz w:val="18"/>
        <w:lang w:val="en-US"/>
      </w:rPr>
      <w:t>+51 959757077</w:t>
    </w:r>
  </w:p>
  <w:p w:rsidR="00814DAF" w:rsidRDefault="00814DA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D62" w:rsidRDefault="00F85D62" w:rsidP="00814DAF">
      <w:pPr>
        <w:spacing w:after="0" w:line="240" w:lineRule="auto"/>
      </w:pPr>
      <w:r>
        <w:separator/>
      </w:r>
    </w:p>
  </w:footnote>
  <w:footnote w:type="continuationSeparator" w:id="0">
    <w:p w:rsidR="00F85D62" w:rsidRDefault="00F85D62" w:rsidP="00814D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4DAF" w:rsidRDefault="00814DAF">
    <w:pPr>
      <w:pStyle w:val="Encabezado"/>
    </w:pPr>
    <w:r>
      <w:rPr>
        <w:noProof/>
        <w:lang w:eastAsia="es-ES"/>
      </w:rPr>
      <w:drawing>
        <wp:inline distT="0" distB="0" distL="0" distR="0" wp14:anchorId="28A14CDD" wp14:editId="4F0E7481">
          <wp:extent cx="2012573" cy="752475"/>
          <wp:effectExtent l="0" t="0" r="6985" b="0"/>
          <wp:docPr id="1" name="Imagen 1" descr="Resultado de imagen para logo pmi sur pe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pmi sur peru"/>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8020" t="32520" r="7519" b="33333"/>
                  <a:stretch/>
                </pic:blipFill>
                <pic:spPr bwMode="auto">
                  <a:xfrm>
                    <a:off x="0" y="0"/>
                    <a:ext cx="2012573" cy="752475"/>
                  </a:xfrm>
                  <a:prstGeom prst="rect">
                    <a:avLst/>
                  </a:prstGeom>
                  <a:noFill/>
                  <a:ln>
                    <a:noFill/>
                  </a:ln>
                  <a:extLst>
                    <a:ext uri="{53640926-AAD7-44D8-BBD7-CCE9431645EC}">
                      <a14:shadowObscured xmlns:a14="http://schemas.microsoft.com/office/drawing/2010/main"/>
                    </a:ext>
                  </a:extLst>
                </pic:spPr>
              </pic:pic>
            </a:graphicData>
          </a:graphic>
        </wp:inline>
      </w:drawing>
    </w:r>
  </w:p>
  <w:p w:rsidR="00814DAF" w:rsidRDefault="00814DA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DD484E"/>
    <w:multiLevelType w:val="hybridMultilevel"/>
    <w:tmpl w:val="A118A3A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4E903597"/>
    <w:multiLevelType w:val="hybridMultilevel"/>
    <w:tmpl w:val="AFC4782C"/>
    <w:lvl w:ilvl="0" w:tplc="1C5685BA">
      <w:start w:val="1"/>
      <w:numFmt w:val="bullet"/>
      <w:lvlText w:val="-"/>
      <w:lvlJc w:val="left"/>
      <w:pPr>
        <w:ind w:left="786" w:hanging="360"/>
      </w:pPr>
      <w:rPr>
        <w:rFonts w:ascii="Calibri" w:eastAsiaTheme="minorHAnsi" w:hAnsi="Calibri" w:cs="Calibri"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
    <w:nsid w:val="55305B27"/>
    <w:multiLevelType w:val="hybridMultilevel"/>
    <w:tmpl w:val="9B34941A"/>
    <w:lvl w:ilvl="0" w:tplc="9DB46BD0">
      <w:start w:val="1"/>
      <w:numFmt w:val="bullet"/>
      <w:lvlText w:val=""/>
      <w:lvlJc w:val="left"/>
      <w:pPr>
        <w:ind w:left="786" w:hanging="360"/>
      </w:pPr>
      <w:rPr>
        <w:rFonts w:ascii="Symbol" w:eastAsiaTheme="minorHAnsi" w:hAnsi="Symbol" w:cstheme="minorBidi"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89B"/>
    <w:rsid w:val="00141D62"/>
    <w:rsid w:val="00145FFB"/>
    <w:rsid w:val="00175E31"/>
    <w:rsid w:val="00545F75"/>
    <w:rsid w:val="005A0CA7"/>
    <w:rsid w:val="005B71F3"/>
    <w:rsid w:val="00814DAF"/>
    <w:rsid w:val="00990385"/>
    <w:rsid w:val="00B15143"/>
    <w:rsid w:val="00D068BE"/>
    <w:rsid w:val="00F0089B"/>
    <w:rsid w:val="00F85D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08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008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089B"/>
    <w:rPr>
      <w:rFonts w:ascii="Tahoma" w:hAnsi="Tahoma" w:cs="Tahoma"/>
      <w:sz w:val="16"/>
      <w:szCs w:val="16"/>
    </w:rPr>
  </w:style>
  <w:style w:type="character" w:styleId="Hipervnculo">
    <w:name w:val="Hyperlink"/>
    <w:basedOn w:val="Fuentedeprrafopredeter"/>
    <w:uiPriority w:val="99"/>
    <w:unhideWhenUsed/>
    <w:rsid w:val="00814DAF"/>
    <w:rPr>
      <w:color w:val="0000FF" w:themeColor="hyperlink"/>
      <w:u w:val="single"/>
    </w:rPr>
  </w:style>
  <w:style w:type="paragraph" w:styleId="Prrafodelista">
    <w:name w:val="List Paragraph"/>
    <w:basedOn w:val="Normal"/>
    <w:uiPriority w:val="34"/>
    <w:qFormat/>
    <w:rsid w:val="00814DAF"/>
    <w:pPr>
      <w:ind w:left="720"/>
      <w:contextualSpacing/>
    </w:pPr>
  </w:style>
  <w:style w:type="paragraph" w:styleId="Encabezado">
    <w:name w:val="header"/>
    <w:basedOn w:val="Normal"/>
    <w:link w:val="EncabezadoCar"/>
    <w:uiPriority w:val="99"/>
    <w:unhideWhenUsed/>
    <w:rsid w:val="00814DA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4DAF"/>
  </w:style>
  <w:style w:type="paragraph" w:styleId="Piedepgina">
    <w:name w:val="footer"/>
    <w:basedOn w:val="Normal"/>
    <w:link w:val="PiedepginaCar"/>
    <w:uiPriority w:val="99"/>
    <w:unhideWhenUsed/>
    <w:rsid w:val="00814DA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4D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08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008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089B"/>
    <w:rPr>
      <w:rFonts w:ascii="Tahoma" w:hAnsi="Tahoma" w:cs="Tahoma"/>
      <w:sz w:val="16"/>
      <w:szCs w:val="16"/>
    </w:rPr>
  </w:style>
  <w:style w:type="character" w:styleId="Hipervnculo">
    <w:name w:val="Hyperlink"/>
    <w:basedOn w:val="Fuentedeprrafopredeter"/>
    <w:uiPriority w:val="99"/>
    <w:unhideWhenUsed/>
    <w:rsid w:val="00814DAF"/>
    <w:rPr>
      <w:color w:val="0000FF" w:themeColor="hyperlink"/>
      <w:u w:val="single"/>
    </w:rPr>
  </w:style>
  <w:style w:type="paragraph" w:styleId="Prrafodelista">
    <w:name w:val="List Paragraph"/>
    <w:basedOn w:val="Normal"/>
    <w:uiPriority w:val="34"/>
    <w:qFormat/>
    <w:rsid w:val="00814DAF"/>
    <w:pPr>
      <w:ind w:left="720"/>
      <w:contextualSpacing/>
    </w:pPr>
  </w:style>
  <w:style w:type="paragraph" w:styleId="Encabezado">
    <w:name w:val="header"/>
    <w:basedOn w:val="Normal"/>
    <w:link w:val="EncabezadoCar"/>
    <w:uiPriority w:val="99"/>
    <w:unhideWhenUsed/>
    <w:rsid w:val="00814DA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4DAF"/>
  </w:style>
  <w:style w:type="paragraph" w:styleId="Piedepgina">
    <w:name w:val="footer"/>
    <w:basedOn w:val="Normal"/>
    <w:link w:val="PiedepginaCar"/>
    <w:uiPriority w:val="99"/>
    <w:unhideWhenUsed/>
    <w:rsid w:val="00814DA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4D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giancarlo.avila@pmisurperu.or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giancarlo.avila@pmisurperu.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iancarlo.avila@pmisurperu.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5</Pages>
  <Words>1124</Words>
  <Characters>6185</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7295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TONCITOS</dc:creator>
  <cp:lastModifiedBy>TONCITOS</cp:lastModifiedBy>
  <cp:revision>9</cp:revision>
  <dcterms:created xsi:type="dcterms:W3CDTF">2018-07-19T12:48:00Z</dcterms:created>
  <dcterms:modified xsi:type="dcterms:W3CDTF">2018-07-19T13:43:00Z</dcterms:modified>
</cp:coreProperties>
</file>